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632" w:type="dxa"/>
        <w:tblInd w:w="-743" w:type="dxa"/>
        <w:tblBorders>
          <w:top w:val="nil"/>
          <w:left w:val="nil"/>
          <w:right w:val="nil"/>
        </w:tblBorders>
        <w:tblLayout w:type="fixed"/>
        <w:tblLook w:val="0000" w:firstRow="0" w:lastRow="0" w:firstColumn="0" w:lastColumn="0" w:noHBand="0" w:noVBand="0"/>
      </w:tblPr>
      <w:tblGrid>
        <w:gridCol w:w="3403"/>
        <w:gridCol w:w="3827"/>
        <w:gridCol w:w="3402"/>
      </w:tblGrid>
      <w:tr w:rsidR="00842FA6" w14:paraId="2680FE97" w14:textId="77777777" w:rsidTr="00842FA6">
        <w:tc>
          <w:tcPr>
            <w:tcW w:w="3403" w:type="dxa"/>
            <w:tcMar>
              <w:top w:w="20" w:type="nil"/>
              <w:left w:w="20" w:type="nil"/>
              <w:bottom w:w="20" w:type="nil"/>
              <w:right w:w="20" w:type="nil"/>
            </w:tcMar>
          </w:tcPr>
          <w:p w14:paraId="6403A560" w14:textId="77777777" w:rsidR="00842FA6" w:rsidRDefault="00842FA6">
            <w:pPr>
              <w:widowControl w:val="0"/>
              <w:autoSpaceDE w:val="0"/>
              <w:autoSpaceDN w:val="0"/>
              <w:adjustRightInd w:val="0"/>
              <w:rPr>
                <w:rFonts w:ascii="Verdana" w:hAnsi="Verdana" w:cs="Verdana"/>
                <w:sz w:val="20"/>
                <w:szCs w:val="20"/>
                <w:lang w:val="fr-FR"/>
              </w:rPr>
            </w:pPr>
            <w:bookmarkStart w:id="0" w:name="_GoBack"/>
            <w:bookmarkEnd w:id="0"/>
          </w:p>
        </w:tc>
        <w:tc>
          <w:tcPr>
            <w:tcW w:w="3827" w:type="dxa"/>
            <w:tcMar>
              <w:top w:w="20" w:type="nil"/>
              <w:left w:w="20" w:type="nil"/>
              <w:bottom w:w="20" w:type="nil"/>
              <w:right w:w="20" w:type="nil"/>
            </w:tcMar>
          </w:tcPr>
          <w:p w14:paraId="7AEC2F0F"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Section 4</w:t>
            </w:r>
          </w:p>
        </w:tc>
        <w:tc>
          <w:tcPr>
            <w:tcW w:w="3402" w:type="dxa"/>
            <w:tcMar>
              <w:top w:w="20" w:type="nil"/>
              <w:left w:w="20" w:type="nil"/>
              <w:bottom w:w="20" w:type="nil"/>
              <w:right w:w="20" w:type="nil"/>
            </w:tcMar>
          </w:tcPr>
          <w:p w14:paraId="51D654D3"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Division</w:t>
            </w:r>
          </w:p>
        </w:tc>
      </w:tr>
      <w:tr w:rsidR="00842FA6" w14:paraId="4D90B1E5" w14:textId="77777777" w:rsidTr="00842FA6">
        <w:tblPrEx>
          <w:tblBorders>
            <w:top w:val="none" w:sz="0" w:space="0" w:color="auto"/>
          </w:tblBorders>
        </w:tblPrEx>
        <w:tc>
          <w:tcPr>
            <w:tcW w:w="3403" w:type="dxa"/>
            <w:tcMar>
              <w:top w:w="20" w:type="nil"/>
              <w:left w:w="20" w:type="nil"/>
              <w:bottom w:w="20" w:type="nil"/>
              <w:right w:w="20" w:type="nil"/>
            </w:tcMar>
          </w:tcPr>
          <w:p w14:paraId="3DB3BBD3"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333966BE"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L’enseignement moral et civique</w:t>
            </w:r>
          </w:p>
        </w:tc>
        <w:tc>
          <w:tcPr>
            <w:tcW w:w="3402" w:type="dxa"/>
            <w:tcMar>
              <w:top w:w="20" w:type="nil"/>
              <w:left w:w="20" w:type="nil"/>
              <w:bottom w:w="20" w:type="nil"/>
              <w:right w:w="20" w:type="nil"/>
            </w:tcMar>
          </w:tcPr>
          <w:p w14:paraId="3C275FBD"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et intitulé sans modification</w:t>
            </w:r>
          </w:p>
        </w:tc>
      </w:tr>
      <w:tr w:rsidR="00842FA6" w14:paraId="2E2B0202" w14:textId="77777777" w:rsidTr="00842FA6">
        <w:tblPrEx>
          <w:tblBorders>
            <w:top w:val="none" w:sz="0" w:space="0" w:color="auto"/>
          </w:tblBorders>
        </w:tblPrEx>
        <w:tc>
          <w:tcPr>
            <w:tcW w:w="3403" w:type="dxa"/>
            <w:tcMar>
              <w:top w:w="20" w:type="nil"/>
              <w:left w:w="20" w:type="nil"/>
              <w:bottom w:w="20" w:type="nil"/>
              <w:right w:w="20" w:type="nil"/>
            </w:tcMar>
          </w:tcPr>
          <w:p w14:paraId="43058F09"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474D14E0"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28</w:t>
            </w:r>
          </w:p>
        </w:tc>
        <w:tc>
          <w:tcPr>
            <w:tcW w:w="3402" w:type="dxa"/>
            <w:tcMar>
              <w:top w:w="20" w:type="nil"/>
              <w:left w:w="20" w:type="nil"/>
              <w:bottom w:w="20" w:type="nil"/>
              <w:right w:w="20" w:type="nil"/>
            </w:tcMar>
          </w:tcPr>
          <w:p w14:paraId="7326AF96"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28</w:t>
            </w:r>
          </w:p>
        </w:tc>
      </w:tr>
      <w:tr w:rsidR="00842FA6" w14:paraId="5C862DA8" w14:textId="77777777" w:rsidTr="00842FA6">
        <w:tblPrEx>
          <w:tblBorders>
            <w:top w:val="none" w:sz="0" w:space="0" w:color="auto"/>
          </w:tblBorders>
        </w:tblPrEx>
        <w:tc>
          <w:tcPr>
            <w:tcW w:w="3403" w:type="dxa"/>
            <w:tcMar>
              <w:top w:w="20" w:type="nil"/>
              <w:left w:w="20" w:type="nil"/>
              <w:bottom w:w="20" w:type="nil"/>
              <w:right w:w="20" w:type="nil"/>
            </w:tcMar>
          </w:tcPr>
          <w:p w14:paraId="42F8CB96"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Art. L. 311-4. —  Les programmes scolaires comportent, à tous les stades de la scolarité, des enseignements destinés à faire connaître la diversité et la richesse des cultures représentées en France. L'école, notamment grâce à des cours d'instruction civique, doit inculquer aux élèves le respect de l'individu, de ses origines et de ses différences.</w:t>
            </w:r>
          </w:p>
        </w:tc>
        <w:tc>
          <w:tcPr>
            <w:tcW w:w="3827" w:type="dxa"/>
            <w:tcMar>
              <w:top w:w="20" w:type="nil"/>
              <w:left w:w="20" w:type="nil"/>
              <w:bottom w:w="20" w:type="nil"/>
              <w:right w:w="20" w:type="nil"/>
            </w:tcMar>
          </w:tcPr>
          <w:p w14:paraId="5DA7108F"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I. - La deuxième phrase de l’article L. 311-4 est remplacée par la phrase suivante :</w:t>
            </w:r>
          </w:p>
        </w:tc>
        <w:tc>
          <w:tcPr>
            <w:tcW w:w="3402" w:type="dxa"/>
            <w:tcMar>
              <w:top w:w="20" w:type="nil"/>
              <w:left w:w="20" w:type="nil"/>
              <w:bottom w:w="20" w:type="nil"/>
              <w:right w:w="20" w:type="nil"/>
            </w:tcMar>
          </w:tcPr>
          <w:p w14:paraId="6D331A55"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I. – La </w:t>
            </w:r>
            <w:r>
              <w:rPr>
                <w:rFonts w:ascii="Times New Roman" w:hAnsi="Times New Roman" w:cs="Times New Roman"/>
                <w:i/>
                <w:iCs/>
                <w:sz w:val="26"/>
                <w:szCs w:val="26"/>
                <w:lang w:val="fr-FR"/>
              </w:rPr>
              <w:t xml:space="preserve">seconde </w:t>
            </w:r>
            <w:r>
              <w:rPr>
                <w:rFonts w:ascii="Times New Roman" w:hAnsi="Times New Roman" w:cs="Times New Roman"/>
                <w:sz w:val="26"/>
                <w:szCs w:val="26"/>
                <w:lang w:val="fr-FR"/>
              </w:rPr>
              <w:t xml:space="preserve">phrase de l’article L. 311 4 </w:t>
            </w:r>
            <w:r>
              <w:rPr>
                <w:rFonts w:ascii="Times New Roman" w:hAnsi="Times New Roman" w:cs="Times New Roman"/>
                <w:i/>
                <w:iCs/>
                <w:sz w:val="26"/>
                <w:szCs w:val="26"/>
                <w:lang w:val="fr-FR"/>
              </w:rPr>
              <w:t xml:space="preserve">du code de l’éducation </w:t>
            </w:r>
            <w:r>
              <w:rPr>
                <w:rFonts w:ascii="Times New Roman" w:hAnsi="Times New Roman" w:cs="Times New Roman"/>
                <w:sz w:val="26"/>
                <w:szCs w:val="26"/>
                <w:lang w:val="fr-FR"/>
              </w:rPr>
              <w:t xml:space="preserve">est </w:t>
            </w:r>
            <w:r>
              <w:rPr>
                <w:rFonts w:ascii="Times New Roman" w:hAnsi="Times New Roman" w:cs="Times New Roman"/>
                <w:i/>
                <w:iCs/>
                <w:sz w:val="26"/>
                <w:szCs w:val="26"/>
                <w:lang w:val="fr-FR"/>
              </w:rPr>
              <w:t>ainsi rédigée</w:t>
            </w:r>
            <w:r>
              <w:rPr>
                <w:rFonts w:ascii="Times New Roman" w:hAnsi="Times New Roman" w:cs="Times New Roman"/>
                <w:sz w:val="26"/>
                <w:szCs w:val="26"/>
                <w:lang w:val="fr-FR"/>
              </w:rPr>
              <w:t xml:space="preserve"> :</w:t>
            </w:r>
          </w:p>
        </w:tc>
      </w:tr>
      <w:tr w:rsidR="00842FA6" w14:paraId="0E0235D6" w14:textId="77777777" w:rsidTr="00842FA6">
        <w:tblPrEx>
          <w:tblBorders>
            <w:top w:val="none" w:sz="0" w:space="0" w:color="auto"/>
          </w:tblBorders>
        </w:tblPrEx>
        <w:tc>
          <w:tcPr>
            <w:tcW w:w="3403" w:type="dxa"/>
            <w:tcMar>
              <w:top w:w="20" w:type="nil"/>
              <w:left w:w="20" w:type="nil"/>
              <w:bottom w:w="20" w:type="nil"/>
              <w:right w:w="20" w:type="nil"/>
            </w:tcMar>
          </w:tcPr>
          <w:p w14:paraId="22926CC3"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66632970"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L’école, notamment grâce à un enseignement moral et civique, fait acquérir aux élèves le respect de la personne, de ses origines et de ses différences, de l’égalité entre les femmes et les hommes ainsi que de la laïcité. »</w:t>
            </w:r>
          </w:p>
        </w:tc>
        <w:tc>
          <w:tcPr>
            <w:tcW w:w="3402" w:type="dxa"/>
            <w:tcMar>
              <w:top w:w="20" w:type="nil"/>
              <w:left w:w="20" w:type="nil"/>
              <w:bottom w:w="20" w:type="nil"/>
              <w:right w:w="20" w:type="nil"/>
            </w:tcMar>
          </w:tcPr>
          <w:p w14:paraId="05399B29"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Alinéa sans modification</w:t>
            </w:r>
          </w:p>
        </w:tc>
      </w:tr>
      <w:tr w:rsidR="00842FA6" w14:paraId="70900A78" w14:textId="77777777" w:rsidTr="00842FA6">
        <w:tblPrEx>
          <w:tblBorders>
            <w:top w:val="none" w:sz="0" w:space="0" w:color="auto"/>
          </w:tblBorders>
        </w:tblPrEx>
        <w:tc>
          <w:tcPr>
            <w:tcW w:w="3403" w:type="dxa"/>
            <w:tcMar>
              <w:top w:w="20" w:type="nil"/>
              <w:left w:w="20" w:type="nil"/>
              <w:bottom w:w="20" w:type="nil"/>
              <w:right w:w="20" w:type="nil"/>
            </w:tcMar>
          </w:tcPr>
          <w:p w14:paraId="05D8003A"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4A8D6E5D"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2ECFAF97"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r>
      <w:tr w:rsidR="00842FA6" w14:paraId="2725D161" w14:textId="77777777" w:rsidTr="00842FA6">
        <w:tblPrEx>
          <w:tblBorders>
            <w:top w:val="none" w:sz="0" w:space="0" w:color="auto"/>
          </w:tblBorders>
        </w:tblPrEx>
        <w:tc>
          <w:tcPr>
            <w:tcW w:w="3403" w:type="dxa"/>
            <w:tcMar>
              <w:top w:w="20" w:type="nil"/>
              <w:left w:w="20" w:type="nil"/>
              <w:bottom w:w="20" w:type="nil"/>
              <w:right w:w="20" w:type="nil"/>
            </w:tcMar>
          </w:tcPr>
          <w:p w14:paraId="60EE9CE5"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Livre III</w:t>
            </w:r>
          </w:p>
          <w:p w14:paraId="3D05EE69"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Titre I</w:t>
            </w:r>
            <w:r>
              <w:rPr>
                <w:rFonts w:ascii="Times New Roman" w:hAnsi="Times New Roman" w:cs="Times New Roman"/>
                <w:sz w:val="22"/>
                <w:szCs w:val="22"/>
                <w:vertAlign w:val="superscript"/>
                <w:lang w:val="fr-FR"/>
              </w:rPr>
              <w:t>ER</w:t>
            </w:r>
          </w:p>
          <w:p w14:paraId="2797F73B"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Chapitre III</w:t>
            </w:r>
          </w:p>
          <w:p w14:paraId="0BF4580C"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Section 8</w:t>
            </w:r>
          </w:p>
          <w:p w14:paraId="37E26E05"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L’enseignement de l’éducation civique</w:t>
            </w:r>
          </w:p>
        </w:tc>
        <w:tc>
          <w:tcPr>
            <w:tcW w:w="3827" w:type="dxa"/>
            <w:tcMar>
              <w:top w:w="20" w:type="nil"/>
              <w:left w:w="20" w:type="nil"/>
              <w:bottom w:w="20" w:type="nil"/>
              <w:right w:w="20" w:type="nil"/>
            </w:tcMar>
          </w:tcPr>
          <w:p w14:paraId="04A38F5C"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II. - L’intitulé de la section 8 du chapitre II du titre I</w:t>
            </w:r>
            <w:r>
              <w:rPr>
                <w:rFonts w:ascii="Times New Roman" w:hAnsi="Times New Roman" w:cs="Times New Roman"/>
                <w:sz w:val="22"/>
                <w:szCs w:val="22"/>
                <w:vertAlign w:val="superscript"/>
                <w:lang w:val="fr-FR"/>
              </w:rPr>
              <w:t xml:space="preserve">er </w:t>
            </w:r>
            <w:r>
              <w:rPr>
                <w:rFonts w:ascii="Times New Roman" w:hAnsi="Times New Roman" w:cs="Times New Roman"/>
                <w:sz w:val="26"/>
                <w:szCs w:val="26"/>
                <w:lang w:val="fr-FR"/>
              </w:rPr>
              <w:t>du livre III est remplacé par l’intitulé suivant :</w:t>
            </w:r>
          </w:p>
          <w:p w14:paraId="11BF7239"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L’enseignement moral et civique ».</w:t>
            </w:r>
          </w:p>
        </w:tc>
        <w:tc>
          <w:tcPr>
            <w:tcW w:w="3402" w:type="dxa"/>
            <w:tcMar>
              <w:top w:w="20" w:type="nil"/>
              <w:left w:w="20" w:type="nil"/>
              <w:bottom w:w="20" w:type="nil"/>
              <w:right w:w="20" w:type="nil"/>
            </w:tcMar>
          </w:tcPr>
          <w:p w14:paraId="788DB837"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II. – L’intitulé …</w:t>
            </w:r>
          </w:p>
          <w:p w14:paraId="6FE10911"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 livre III </w:t>
            </w:r>
            <w:r>
              <w:rPr>
                <w:rFonts w:ascii="Times New Roman" w:hAnsi="Times New Roman" w:cs="Times New Roman"/>
                <w:i/>
                <w:iCs/>
                <w:sz w:val="26"/>
                <w:szCs w:val="26"/>
                <w:lang w:val="fr-FR"/>
              </w:rPr>
              <w:t>de la deuxième partie du même code</w:t>
            </w:r>
            <w:r>
              <w:rPr>
                <w:rFonts w:ascii="Times New Roman" w:hAnsi="Times New Roman" w:cs="Times New Roman"/>
                <w:sz w:val="26"/>
                <w:szCs w:val="26"/>
                <w:lang w:val="fr-FR"/>
              </w:rPr>
              <w:t xml:space="preserve"> est </w:t>
            </w:r>
            <w:r>
              <w:rPr>
                <w:rFonts w:ascii="Times New Roman" w:hAnsi="Times New Roman" w:cs="Times New Roman"/>
                <w:i/>
                <w:iCs/>
                <w:sz w:val="26"/>
                <w:szCs w:val="26"/>
                <w:lang w:val="fr-FR"/>
              </w:rPr>
              <w:t xml:space="preserve">ainsi rédigé </w:t>
            </w:r>
            <w:r>
              <w:rPr>
                <w:rFonts w:ascii="Times New Roman" w:hAnsi="Times New Roman" w:cs="Times New Roman"/>
                <w:sz w:val="26"/>
                <w:szCs w:val="26"/>
                <w:lang w:val="fr-FR"/>
              </w:rPr>
              <w:t>: « L’enseignement moral et civique ».</w:t>
            </w:r>
          </w:p>
        </w:tc>
      </w:tr>
      <w:tr w:rsidR="00842FA6" w14:paraId="456455D5" w14:textId="77777777" w:rsidTr="00842FA6">
        <w:tblPrEx>
          <w:tblBorders>
            <w:top w:val="none" w:sz="0" w:space="0" w:color="auto"/>
          </w:tblBorders>
        </w:tblPrEx>
        <w:tc>
          <w:tcPr>
            <w:tcW w:w="3403" w:type="dxa"/>
            <w:tcMar>
              <w:top w:w="20" w:type="nil"/>
              <w:left w:w="20" w:type="nil"/>
              <w:bottom w:w="20" w:type="nil"/>
              <w:right w:w="20" w:type="nil"/>
            </w:tcMar>
          </w:tcPr>
          <w:p w14:paraId="70DE47FB"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1A7C6EE8"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32B78489"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r>
      <w:tr w:rsidR="00842FA6" w14:paraId="337E24B0" w14:textId="77777777" w:rsidTr="00842FA6">
        <w:tblPrEx>
          <w:tblBorders>
            <w:top w:val="none" w:sz="0" w:space="0" w:color="auto"/>
          </w:tblBorders>
        </w:tblPrEx>
        <w:tc>
          <w:tcPr>
            <w:tcW w:w="3403" w:type="dxa"/>
            <w:tcMar>
              <w:top w:w="20" w:type="nil"/>
              <w:left w:w="20" w:type="nil"/>
              <w:bottom w:w="20" w:type="nil"/>
              <w:right w:w="20" w:type="nil"/>
            </w:tcMar>
          </w:tcPr>
          <w:p w14:paraId="353DB2F5"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Art. L. 312-15. —  Outre les enseignements concourant aux objectifs définis à l'article L. 131-1-1, l'enseignement d'éducation civique comporte, à tous les stades de la scolarité, une formation aux valeurs de la République, à la connaissance et au respect des droits de l'enfant consacrés par la loi ou par un engagement international et à la compréhension des </w:t>
            </w:r>
            <w:r>
              <w:rPr>
                <w:rFonts w:ascii="Times New Roman" w:hAnsi="Times New Roman" w:cs="Times New Roman"/>
                <w:sz w:val="26"/>
                <w:szCs w:val="26"/>
                <w:lang w:val="fr-FR"/>
              </w:rPr>
              <w:lastRenderedPageBreak/>
              <w:t>situations concrètes qui y portent atteinte. Dans ce cadre est donnée une information sur le rôle des organisations non gouvernementales œuvrant pour la protection de l'enfant.</w:t>
            </w:r>
          </w:p>
          <w:p w14:paraId="1B072E08"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w:t>
            </w:r>
          </w:p>
        </w:tc>
        <w:tc>
          <w:tcPr>
            <w:tcW w:w="3827" w:type="dxa"/>
            <w:tcMar>
              <w:top w:w="20" w:type="nil"/>
              <w:left w:w="20" w:type="nil"/>
              <w:bottom w:w="20" w:type="nil"/>
              <w:right w:w="20" w:type="nil"/>
            </w:tcMar>
          </w:tcPr>
          <w:p w14:paraId="7D7DB840"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lastRenderedPageBreak/>
              <w:t>III. - A la première phrase du premier alinéa de l’article L. 312-15, les mots : « l’enseignement d’éducation civique » sont remplacés par les mots :</w:t>
            </w:r>
          </w:p>
          <w:p w14:paraId="5B127D2A"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 </w:t>
            </w:r>
            <w:r w:rsidRPr="00356E5B">
              <w:rPr>
                <w:rFonts w:ascii="Times New Roman" w:hAnsi="Times New Roman" w:cs="Times New Roman"/>
                <w:color w:val="FF0000"/>
                <w:sz w:val="26"/>
                <w:szCs w:val="26"/>
                <w:lang w:val="fr-FR"/>
              </w:rPr>
              <w:t>l'enseignement moral et civique vise notamment à amener les élèves à devenir des citoyens responsables et libres, à se forger un sens critique et à adopter un comportement réfléchi.</w:t>
            </w:r>
            <w:r>
              <w:rPr>
                <w:rFonts w:ascii="Times New Roman" w:hAnsi="Times New Roman" w:cs="Times New Roman"/>
                <w:sz w:val="26"/>
                <w:szCs w:val="26"/>
                <w:lang w:val="fr-FR"/>
              </w:rPr>
              <w:t xml:space="preserve"> Cet enseignement ».</w:t>
            </w:r>
          </w:p>
        </w:tc>
        <w:tc>
          <w:tcPr>
            <w:tcW w:w="3402" w:type="dxa"/>
            <w:tcMar>
              <w:top w:w="20" w:type="nil"/>
              <w:left w:w="20" w:type="nil"/>
              <w:bottom w:w="20" w:type="nil"/>
              <w:right w:w="20" w:type="nil"/>
            </w:tcMar>
          </w:tcPr>
          <w:p w14:paraId="6F588F4B"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III. – L’article L. 312- 15 du même code </w:t>
            </w:r>
            <w:r>
              <w:rPr>
                <w:rFonts w:ascii="Times New Roman" w:hAnsi="Times New Roman" w:cs="Times New Roman"/>
                <w:i/>
                <w:iCs/>
                <w:sz w:val="26"/>
                <w:szCs w:val="26"/>
                <w:lang w:val="fr-FR"/>
              </w:rPr>
              <w:t>est</w:t>
            </w:r>
            <w:r>
              <w:rPr>
                <w:rFonts w:ascii="Times New Roman" w:hAnsi="Times New Roman" w:cs="Times New Roman"/>
                <w:sz w:val="26"/>
                <w:szCs w:val="26"/>
                <w:lang w:val="fr-FR"/>
              </w:rPr>
              <w:t xml:space="preserve"> </w:t>
            </w:r>
            <w:r>
              <w:rPr>
                <w:rFonts w:ascii="Times New Roman" w:hAnsi="Times New Roman" w:cs="Times New Roman"/>
                <w:i/>
                <w:iCs/>
                <w:sz w:val="26"/>
                <w:szCs w:val="26"/>
                <w:lang w:val="fr-FR"/>
              </w:rPr>
              <w:t>ainsi modifié</w:t>
            </w:r>
            <w:r>
              <w:rPr>
                <w:rFonts w:ascii="Times New Roman" w:hAnsi="Times New Roman" w:cs="Times New Roman"/>
                <w:sz w:val="26"/>
                <w:szCs w:val="26"/>
                <w:lang w:val="fr-FR"/>
              </w:rPr>
              <w:t xml:space="preserve"> :</w:t>
            </w:r>
          </w:p>
        </w:tc>
      </w:tr>
      <w:tr w:rsidR="00842FA6" w14:paraId="7C77E9E5" w14:textId="77777777" w:rsidTr="00842FA6">
        <w:tblPrEx>
          <w:tblBorders>
            <w:top w:val="none" w:sz="0" w:space="0" w:color="auto"/>
          </w:tblBorders>
        </w:tblPrEx>
        <w:tc>
          <w:tcPr>
            <w:tcW w:w="3403" w:type="dxa"/>
            <w:tcMar>
              <w:top w:w="20" w:type="nil"/>
              <w:left w:w="20" w:type="nil"/>
              <w:bottom w:w="20" w:type="nil"/>
              <w:right w:w="20" w:type="nil"/>
            </w:tcMar>
          </w:tcPr>
          <w:p w14:paraId="095231E8"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lastRenderedPageBreak/>
              <w:t> </w:t>
            </w:r>
          </w:p>
        </w:tc>
        <w:tc>
          <w:tcPr>
            <w:tcW w:w="3827" w:type="dxa"/>
            <w:tcMar>
              <w:top w:w="20" w:type="nil"/>
              <w:left w:w="20" w:type="nil"/>
              <w:bottom w:w="20" w:type="nil"/>
              <w:right w:w="20" w:type="nil"/>
            </w:tcMar>
          </w:tcPr>
          <w:p w14:paraId="31514D13"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1706A9CC"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i/>
                <w:iCs/>
                <w:sz w:val="26"/>
                <w:szCs w:val="26"/>
                <w:lang w:val="fr-FR"/>
              </w:rPr>
              <w:t>1°</w:t>
            </w:r>
            <w:r>
              <w:rPr>
                <w:rFonts w:ascii="Times New Roman" w:hAnsi="Times New Roman" w:cs="Times New Roman"/>
                <w:sz w:val="26"/>
                <w:szCs w:val="26"/>
                <w:lang w:val="fr-FR"/>
              </w:rPr>
              <w:t xml:space="preserve"> À la première phrase …</w:t>
            </w:r>
          </w:p>
          <w:p w14:paraId="75ACAD0E"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…enseignement » ;</w:t>
            </w:r>
          </w:p>
        </w:tc>
      </w:tr>
      <w:tr w:rsidR="00842FA6" w14:paraId="6A3163E0" w14:textId="77777777" w:rsidTr="00842FA6">
        <w:tblPrEx>
          <w:tblBorders>
            <w:top w:val="none" w:sz="0" w:space="0" w:color="auto"/>
          </w:tblBorders>
        </w:tblPrEx>
        <w:tc>
          <w:tcPr>
            <w:tcW w:w="3403" w:type="dxa"/>
            <w:tcMar>
              <w:top w:w="20" w:type="nil"/>
              <w:left w:w="20" w:type="nil"/>
              <w:bottom w:w="20" w:type="nil"/>
              <w:right w:w="20" w:type="nil"/>
            </w:tcMar>
          </w:tcPr>
          <w:p w14:paraId="1F54E11E"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164CF72B"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21B2FA19"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i/>
                <w:iCs/>
                <w:sz w:val="26"/>
                <w:szCs w:val="26"/>
                <w:lang w:val="fr-FR"/>
              </w:rPr>
              <w:t>2°</w:t>
            </w:r>
            <w:r>
              <w:rPr>
                <w:rFonts w:ascii="Times New Roman" w:hAnsi="Times New Roman" w:cs="Times New Roman"/>
                <w:sz w:val="26"/>
                <w:szCs w:val="26"/>
                <w:lang w:val="fr-FR"/>
              </w:rPr>
              <w:t xml:space="preserve"> </w:t>
            </w:r>
            <w:r>
              <w:rPr>
                <w:rFonts w:ascii="Times New Roman" w:hAnsi="Times New Roman" w:cs="Times New Roman"/>
                <w:i/>
                <w:iCs/>
                <w:sz w:val="26"/>
                <w:szCs w:val="26"/>
                <w:lang w:val="fr-FR"/>
              </w:rPr>
              <w:t>Au troisième alinéa, les mots : « d’éducation », sont remplacés par les mots : « moral et » ;</w:t>
            </w:r>
          </w:p>
        </w:tc>
      </w:tr>
      <w:tr w:rsidR="00842FA6" w14:paraId="392278AF" w14:textId="77777777" w:rsidTr="00842FA6">
        <w:tblPrEx>
          <w:tblBorders>
            <w:top w:val="none" w:sz="0" w:space="0" w:color="auto"/>
          </w:tblBorders>
        </w:tblPrEx>
        <w:tc>
          <w:tcPr>
            <w:tcW w:w="3403" w:type="dxa"/>
            <w:tcMar>
              <w:top w:w="20" w:type="nil"/>
              <w:left w:w="20" w:type="nil"/>
              <w:bottom w:w="20" w:type="nil"/>
              <w:right w:w="20" w:type="nil"/>
            </w:tcMar>
          </w:tcPr>
          <w:p w14:paraId="03D17D91"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16CADA74"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7F2B3F25"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i/>
                <w:iCs/>
                <w:sz w:val="26"/>
                <w:szCs w:val="26"/>
                <w:lang w:val="fr-FR"/>
              </w:rPr>
              <w:t>3° À l’avant-dernier alinéa, les mots : « d’éducation », sont remplacés par les mots : « moral et » ;</w:t>
            </w:r>
          </w:p>
        </w:tc>
      </w:tr>
      <w:tr w:rsidR="00842FA6" w14:paraId="3A92120E" w14:textId="77777777" w:rsidTr="00842FA6">
        <w:tblPrEx>
          <w:tblBorders>
            <w:top w:val="none" w:sz="0" w:space="0" w:color="auto"/>
          </w:tblBorders>
        </w:tblPrEx>
        <w:tc>
          <w:tcPr>
            <w:tcW w:w="3403" w:type="dxa"/>
            <w:tcMar>
              <w:top w:w="20" w:type="nil"/>
              <w:left w:w="20" w:type="nil"/>
              <w:bottom w:w="20" w:type="nil"/>
              <w:right w:w="20" w:type="nil"/>
            </w:tcMar>
          </w:tcPr>
          <w:p w14:paraId="7A7CB05B"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1C868AA6"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7081B1E2"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i/>
                <w:iCs/>
                <w:sz w:val="26"/>
                <w:szCs w:val="26"/>
                <w:lang w:val="fr-FR"/>
              </w:rPr>
              <w:t>4° À la première phrase du dernier alinéa, les mots : « d’éducation » sont remplacés par les mots : « moral et ».</w:t>
            </w:r>
          </w:p>
        </w:tc>
      </w:tr>
      <w:tr w:rsidR="00842FA6" w14:paraId="6EB3286E" w14:textId="77777777" w:rsidTr="00842FA6">
        <w:tblPrEx>
          <w:tblBorders>
            <w:top w:val="none" w:sz="0" w:space="0" w:color="auto"/>
          </w:tblBorders>
        </w:tblPrEx>
        <w:tc>
          <w:tcPr>
            <w:tcW w:w="3403" w:type="dxa"/>
            <w:tcMar>
              <w:top w:w="20" w:type="nil"/>
              <w:left w:w="20" w:type="nil"/>
              <w:bottom w:w="20" w:type="nil"/>
              <w:right w:w="20" w:type="nil"/>
            </w:tcMar>
          </w:tcPr>
          <w:p w14:paraId="10CB6CBE"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67177DB4"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0B3E439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b/>
                <w:bCs/>
                <w:sz w:val="26"/>
                <w:szCs w:val="26"/>
                <w:lang w:val="fr-FR"/>
              </w:rPr>
              <w:t>Amendements AC4, AC5 et AC6</w:t>
            </w:r>
          </w:p>
        </w:tc>
      </w:tr>
      <w:tr w:rsidR="00842FA6" w14:paraId="0ABB125A" w14:textId="77777777" w:rsidTr="00842FA6">
        <w:tblPrEx>
          <w:tblBorders>
            <w:top w:val="none" w:sz="0" w:space="0" w:color="auto"/>
          </w:tblBorders>
        </w:tblPrEx>
        <w:tc>
          <w:tcPr>
            <w:tcW w:w="3403" w:type="dxa"/>
            <w:tcMar>
              <w:top w:w="20" w:type="nil"/>
              <w:left w:w="20" w:type="nil"/>
              <w:bottom w:w="20" w:type="nil"/>
              <w:right w:w="20" w:type="nil"/>
            </w:tcMar>
          </w:tcPr>
          <w:p w14:paraId="6A22EF7B"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594A34B3"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Section 5</w:t>
            </w:r>
          </w:p>
        </w:tc>
        <w:tc>
          <w:tcPr>
            <w:tcW w:w="3402" w:type="dxa"/>
            <w:tcMar>
              <w:top w:w="20" w:type="nil"/>
              <w:left w:w="20" w:type="nil"/>
              <w:bottom w:w="20" w:type="nil"/>
              <w:right w:w="20" w:type="nil"/>
            </w:tcMar>
          </w:tcPr>
          <w:p w14:paraId="0ED489E7"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Division</w:t>
            </w:r>
          </w:p>
        </w:tc>
      </w:tr>
      <w:tr w:rsidR="00842FA6" w14:paraId="3A46CC3B" w14:textId="77777777" w:rsidTr="00842FA6">
        <w:tblPrEx>
          <w:tblBorders>
            <w:top w:val="none" w:sz="0" w:space="0" w:color="auto"/>
          </w:tblBorders>
        </w:tblPrEx>
        <w:tc>
          <w:tcPr>
            <w:tcW w:w="3403" w:type="dxa"/>
            <w:tcMar>
              <w:top w:w="20" w:type="nil"/>
              <w:left w:w="20" w:type="nil"/>
              <w:bottom w:w="20" w:type="nil"/>
              <w:right w:w="20" w:type="nil"/>
            </w:tcMar>
          </w:tcPr>
          <w:p w14:paraId="45BBB959"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4DC25D14"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L’enseignement du premier degré</w:t>
            </w:r>
          </w:p>
        </w:tc>
        <w:tc>
          <w:tcPr>
            <w:tcW w:w="3402" w:type="dxa"/>
            <w:tcMar>
              <w:top w:w="20" w:type="nil"/>
              <w:left w:w="20" w:type="nil"/>
              <w:bottom w:w="20" w:type="nil"/>
              <w:right w:w="20" w:type="nil"/>
            </w:tcMar>
          </w:tcPr>
          <w:p w14:paraId="3479A8A0"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et intitulé sans modification</w:t>
            </w:r>
          </w:p>
        </w:tc>
      </w:tr>
      <w:tr w:rsidR="00842FA6" w14:paraId="691D98DC" w14:textId="77777777" w:rsidTr="00842FA6">
        <w:tblPrEx>
          <w:tblBorders>
            <w:top w:val="none" w:sz="0" w:space="0" w:color="auto"/>
          </w:tblBorders>
        </w:tblPrEx>
        <w:tc>
          <w:tcPr>
            <w:tcW w:w="3403" w:type="dxa"/>
            <w:tcMar>
              <w:top w:w="20" w:type="nil"/>
              <w:left w:w="20" w:type="nil"/>
              <w:bottom w:w="20" w:type="nil"/>
              <w:right w:w="20" w:type="nil"/>
            </w:tcMar>
          </w:tcPr>
          <w:p w14:paraId="4915BF8F"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6262BFC4"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29</w:t>
            </w:r>
          </w:p>
        </w:tc>
        <w:tc>
          <w:tcPr>
            <w:tcW w:w="3402" w:type="dxa"/>
            <w:tcMar>
              <w:top w:w="20" w:type="nil"/>
              <w:left w:w="20" w:type="nil"/>
              <w:bottom w:w="20" w:type="nil"/>
              <w:right w:w="20" w:type="nil"/>
            </w:tcMar>
          </w:tcPr>
          <w:p w14:paraId="0163B4D9"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29</w:t>
            </w:r>
          </w:p>
        </w:tc>
      </w:tr>
      <w:tr w:rsidR="00842FA6" w14:paraId="2F7D979F" w14:textId="77777777" w:rsidTr="00842FA6">
        <w:tblPrEx>
          <w:tblBorders>
            <w:top w:val="none" w:sz="0" w:space="0" w:color="auto"/>
          </w:tblBorders>
        </w:tblPrEx>
        <w:tc>
          <w:tcPr>
            <w:tcW w:w="3403" w:type="dxa"/>
            <w:tcMar>
              <w:top w:w="20" w:type="nil"/>
              <w:left w:w="20" w:type="nil"/>
              <w:bottom w:w="20" w:type="nil"/>
              <w:right w:w="20" w:type="nil"/>
            </w:tcMar>
          </w:tcPr>
          <w:p w14:paraId="2F7E1A5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Art. L. 321-1. —  La scolarité de l'école maternelle à la fin de l'école élémentaire comporte trois cycles.</w:t>
            </w:r>
          </w:p>
          <w:p w14:paraId="13C49E66"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La durée de ces cycles est fixée par décret. »</w:t>
            </w:r>
          </w:p>
        </w:tc>
        <w:tc>
          <w:tcPr>
            <w:tcW w:w="3827" w:type="dxa"/>
            <w:tcMar>
              <w:top w:w="20" w:type="nil"/>
              <w:left w:w="20" w:type="nil"/>
              <w:bottom w:w="20" w:type="nil"/>
              <w:right w:w="20" w:type="nil"/>
            </w:tcMar>
          </w:tcPr>
          <w:p w14:paraId="78FD6407"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L’article L. 321-1 est abrogé.</w:t>
            </w:r>
          </w:p>
        </w:tc>
        <w:tc>
          <w:tcPr>
            <w:tcW w:w="3402" w:type="dxa"/>
            <w:tcMar>
              <w:top w:w="20" w:type="nil"/>
              <w:left w:w="20" w:type="nil"/>
              <w:bottom w:w="20" w:type="nil"/>
              <w:right w:w="20" w:type="nil"/>
            </w:tcMar>
          </w:tcPr>
          <w:p w14:paraId="2BF34A7E"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L’article L. 321-1 </w:t>
            </w:r>
            <w:r>
              <w:rPr>
                <w:rFonts w:ascii="Times New Roman" w:hAnsi="Times New Roman" w:cs="Times New Roman"/>
                <w:i/>
                <w:iCs/>
                <w:sz w:val="26"/>
                <w:szCs w:val="26"/>
                <w:lang w:val="fr-FR"/>
              </w:rPr>
              <w:t>du code de l’éducation</w:t>
            </w:r>
            <w:r>
              <w:rPr>
                <w:rFonts w:ascii="Times New Roman" w:hAnsi="Times New Roman" w:cs="Times New Roman"/>
                <w:sz w:val="26"/>
                <w:szCs w:val="26"/>
                <w:lang w:val="fr-FR"/>
              </w:rPr>
              <w:t xml:space="preserve"> est abrogé.</w:t>
            </w:r>
          </w:p>
        </w:tc>
      </w:tr>
      <w:tr w:rsidR="00842FA6" w14:paraId="1828E7B9" w14:textId="77777777" w:rsidTr="00842FA6">
        <w:tblPrEx>
          <w:tblBorders>
            <w:top w:val="none" w:sz="0" w:space="0" w:color="auto"/>
          </w:tblBorders>
        </w:tblPrEx>
        <w:tc>
          <w:tcPr>
            <w:tcW w:w="3403" w:type="dxa"/>
            <w:tcMar>
              <w:top w:w="20" w:type="nil"/>
              <w:left w:w="20" w:type="nil"/>
              <w:bottom w:w="20" w:type="nil"/>
              <w:right w:w="20" w:type="nil"/>
            </w:tcMar>
          </w:tcPr>
          <w:p w14:paraId="002E6C0F"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0FF41EE5"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30</w:t>
            </w:r>
          </w:p>
        </w:tc>
        <w:tc>
          <w:tcPr>
            <w:tcW w:w="3402" w:type="dxa"/>
            <w:tcMar>
              <w:top w:w="20" w:type="nil"/>
              <w:left w:w="20" w:type="nil"/>
              <w:bottom w:w="20" w:type="nil"/>
              <w:right w:w="20" w:type="nil"/>
            </w:tcMar>
          </w:tcPr>
          <w:p w14:paraId="2351E773"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30</w:t>
            </w:r>
          </w:p>
        </w:tc>
      </w:tr>
      <w:tr w:rsidR="00842FA6" w14:paraId="322EE9BC" w14:textId="77777777" w:rsidTr="00842FA6">
        <w:tblPrEx>
          <w:tblBorders>
            <w:top w:val="none" w:sz="0" w:space="0" w:color="auto"/>
          </w:tblBorders>
        </w:tblPrEx>
        <w:tc>
          <w:tcPr>
            <w:tcW w:w="3403" w:type="dxa"/>
            <w:tcMar>
              <w:top w:w="20" w:type="nil"/>
              <w:left w:w="20" w:type="nil"/>
              <w:bottom w:w="20" w:type="nil"/>
              <w:right w:w="20" w:type="nil"/>
            </w:tcMar>
          </w:tcPr>
          <w:p w14:paraId="744E720E"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Art. L. 321-2. —  Sans rendre obligatoire l'apprentissage précoce de la lecture ou de l'écriture, la formation qui est dispensée dans les classes enfantines et les écoles maternelles favorise l'éveil de la personnalité des enfants. Elle tend à prévenir des difficultés scolaires, à dépister les handicaps et à compenser les inégalités. La mission éducative de l'école maternelle comporte une première approche des outils de base de la connaissance, prépare les enfants aux apprentissages fondamentaux dispensés à l'école élémentaire et leur apprend les principes de la vie en société.</w:t>
            </w:r>
          </w:p>
          <w:p w14:paraId="007A78BA"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L'État affecte le personnel enseignant nécessaire à ces activités éducatives.</w:t>
            </w:r>
          </w:p>
        </w:tc>
        <w:tc>
          <w:tcPr>
            <w:tcW w:w="3827" w:type="dxa"/>
            <w:tcMar>
              <w:top w:w="20" w:type="nil"/>
              <w:left w:w="20" w:type="nil"/>
              <w:bottom w:w="20" w:type="nil"/>
              <w:right w:w="20" w:type="nil"/>
            </w:tcMar>
          </w:tcPr>
          <w:p w14:paraId="757631F0"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Verdana" w:hAnsi="Verdana" w:cs="Verdana"/>
                <w:sz w:val="26"/>
                <w:szCs w:val="26"/>
                <w:lang w:val="fr-FR"/>
              </w:rPr>
              <w:t xml:space="preserve">La première phrase de l’article L. 321-2 est </w:t>
            </w:r>
            <w:r>
              <w:rPr>
                <w:rFonts w:ascii="Verdana" w:hAnsi="Verdana" w:cs="Verdana"/>
                <w:sz w:val="26"/>
                <w:szCs w:val="26"/>
                <w:u w:val="single"/>
                <w:lang w:val="fr-FR"/>
              </w:rPr>
              <w:t>remplacée par une phrase</w:t>
            </w:r>
            <w:r>
              <w:rPr>
                <w:rFonts w:ascii="Verdana" w:hAnsi="Verdana" w:cs="Verdana"/>
                <w:sz w:val="26"/>
                <w:szCs w:val="26"/>
                <w:lang w:val="fr-FR"/>
              </w:rPr>
              <w:t xml:space="preserve"> ainsi rédigée : « La formation dispensée dans les classes et les écoles maternelles favorise l’éveil de la personnalité des enfants, stimule leur développement sensoriel, moteur, cognitif et social et concourt à leur épanouissement affectif ».</w:t>
            </w:r>
          </w:p>
        </w:tc>
        <w:tc>
          <w:tcPr>
            <w:tcW w:w="3402" w:type="dxa"/>
            <w:tcMar>
              <w:top w:w="20" w:type="nil"/>
              <w:left w:w="20" w:type="nil"/>
              <w:bottom w:w="20" w:type="nil"/>
              <w:right w:w="20" w:type="nil"/>
            </w:tcMar>
          </w:tcPr>
          <w:p w14:paraId="5266B122"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La …</w:t>
            </w:r>
          </w:p>
          <w:p w14:paraId="48A64EC7"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 L. 321-2 </w:t>
            </w:r>
            <w:r>
              <w:rPr>
                <w:rFonts w:ascii="Times New Roman" w:hAnsi="Times New Roman" w:cs="Times New Roman"/>
                <w:i/>
                <w:iCs/>
                <w:sz w:val="26"/>
                <w:szCs w:val="26"/>
                <w:lang w:val="fr-FR"/>
              </w:rPr>
              <w:t xml:space="preserve">du même code </w:t>
            </w:r>
            <w:r>
              <w:rPr>
                <w:rFonts w:ascii="Times New Roman" w:hAnsi="Times New Roman" w:cs="Times New Roman"/>
                <w:sz w:val="26"/>
                <w:szCs w:val="26"/>
                <w:lang w:val="fr-FR"/>
              </w:rPr>
              <w:t>est ainsi rédigée </w:t>
            </w:r>
            <w:r>
              <w:rPr>
                <w:rFonts w:ascii="Times New Roman" w:hAnsi="Times New Roman" w:cs="Times New Roman"/>
                <w:i/>
                <w:iCs/>
                <w:sz w:val="26"/>
                <w:szCs w:val="26"/>
                <w:lang w:val="fr-FR"/>
              </w:rPr>
              <w:t>:</w:t>
            </w:r>
            <w:r>
              <w:rPr>
                <w:rFonts w:ascii="Times New Roman" w:hAnsi="Times New Roman" w:cs="Times New Roman"/>
                <w:sz w:val="26"/>
                <w:szCs w:val="26"/>
                <w:lang w:val="fr-FR"/>
              </w:rPr>
              <w:t xml:space="preserve"> « La …</w:t>
            </w:r>
          </w:p>
          <w:p w14:paraId="2F28F19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social</w:t>
            </w:r>
            <w:r>
              <w:rPr>
                <w:rFonts w:ascii="Times New Roman" w:hAnsi="Times New Roman" w:cs="Times New Roman"/>
                <w:i/>
                <w:iCs/>
                <w:sz w:val="26"/>
                <w:szCs w:val="26"/>
                <w:lang w:val="fr-FR"/>
              </w:rPr>
              <w:t>, développe l’estime de soi et des autres</w:t>
            </w:r>
            <w:r>
              <w:rPr>
                <w:rFonts w:ascii="Times New Roman" w:hAnsi="Times New Roman" w:cs="Times New Roman"/>
                <w:sz w:val="26"/>
                <w:szCs w:val="26"/>
                <w:lang w:val="fr-FR"/>
              </w:rPr>
              <w:t xml:space="preserve"> et concourt … affectif ; </w:t>
            </w:r>
            <w:r>
              <w:rPr>
                <w:rFonts w:ascii="Times New Roman" w:hAnsi="Times New Roman" w:cs="Times New Roman"/>
                <w:i/>
                <w:iCs/>
                <w:sz w:val="26"/>
                <w:szCs w:val="26"/>
                <w:lang w:val="fr-FR"/>
              </w:rPr>
              <w:t>elle est adaptée aux besoins des élèves en situation de handicap pour permettre leur scolarisation.</w:t>
            </w:r>
            <w:r>
              <w:rPr>
                <w:rFonts w:ascii="Times New Roman" w:hAnsi="Times New Roman" w:cs="Times New Roman"/>
                <w:sz w:val="26"/>
                <w:szCs w:val="26"/>
                <w:lang w:val="fr-FR"/>
              </w:rPr>
              <w:t> »</w:t>
            </w:r>
          </w:p>
          <w:p w14:paraId="50C8609B"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b/>
                <w:bCs/>
                <w:sz w:val="26"/>
                <w:szCs w:val="26"/>
                <w:lang w:val="fr-FR"/>
              </w:rPr>
              <w:t>Amendements AC 417 et AC181</w:t>
            </w:r>
          </w:p>
        </w:tc>
      </w:tr>
      <w:tr w:rsidR="00842FA6" w14:paraId="0B4FFB82" w14:textId="77777777" w:rsidTr="00842FA6">
        <w:tblPrEx>
          <w:tblBorders>
            <w:top w:val="none" w:sz="0" w:space="0" w:color="auto"/>
          </w:tblBorders>
        </w:tblPrEx>
        <w:tc>
          <w:tcPr>
            <w:tcW w:w="3403" w:type="dxa"/>
            <w:tcMar>
              <w:top w:w="20" w:type="nil"/>
              <w:left w:w="20" w:type="nil"/>
              <w:bottom w:w="20" w:type="nil"/>
              <w:right w:w="20" w:type="nil"/>
            </w:tcMar>
          </w:tcPr>
          <w:p w14:paraId="4CC99974"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6D10CDE8"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38B82429"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i/>
                <w:iCs/>
                <w:sz w:val="26"/>
                <w:szCs w:val="26"/>
                <w:lang w:val="fr-FR"/>
              </w:rPr>
              <w:t>Article 30</w:t>
            </w:r>
            <w:r>
              <w:rPr>
                <w:rFonts w:ascii="Times New Roman" w:hAnsi="Times New Roman" w:cs="Times New Roman"/>
                <w:sz w:val="26"/>
                <w:szCs w:val="26"/>
                <w:lang w:val="fr-FR"/>
              </w:rPr>
              <w:t xml:space="preserve"> bis</w:t>
            </w:r>
          </w:p>
        </w:tc>
      </w:tr>
      <w:tr w:rsidR="00842FA6" w14:paraId="62F871F1" w14:textId="77777777" w:rsidTr="00842FA6">
        <w:tblPrEx>
          <w:tblBorders>
            <w:top w:val="none" w:sz="0" w:space="0" w:color="auto"/>
          </w:tblBorders>
        </w:tblPrEx>
        <w:tc>
          <w:tcPr>
            <w:tcW w:w="3403" w:type="dxa"/>
            <w:tcMar>
              <w:top w:w="20" w:type="nil"/>
              <w:left w:w="20" w:type="nil"/>
              <w:bottom w:w="20" w:type="nil"/>
              <w:right w:w="20" w:type="nil"/>
            </w:tcMar>
          </w:tcPr>
          <w:p w14:paraId="16707010"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7287D460"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5FEB5A6A"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w:hAnsi="Times" w:cs="Times"/>
                <w:i/>
                <w:iCs/>
                <w:sz w:val="26"/>
                <w:szCs w:val="26"/>
                <w:lang w:val="fr-FR"/>
              </w:rPr>
              <w:t>Après l’article L. 321-2 du même code, il est inséré un article ainsi rédigé :</w:t>
            </w:r>
          </w:p>
        </w:tc>
      </w:tr>
      <w:tr w:rsidR="00842FA6" w14:paraId="09546ECD" w14:textId="77777777" w:rsidTr="00842FA6">
        <w:tblPrEx>
          <w:tblBorders>
            <w:top w:val="none" w:sz="0" w:space="0" w:color="auto"/>
          </w:tblBorders>
        </w:tblPrEx>
        <w:tc>
          <w:tcPr>
            <w:tcW w:w="3403" w:type="dxa"/>
            <w:tcMar>
              <w:top w:w="20" w:type="nil"/>
              <w:left w:w="20" w:type="nil"/>
              <w:bottom w:w="20" w:type="nil"/>
              <w:right w:w="20" w:type="nil"/>
            </w:tcMar>
          </w:tcPr>
          <w:p w14:paraId="703817CB"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32F5C081"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18E6F526"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i/>
                <w:iCs/>
                <w:sz w:val="26"/>
                <w:szCs w:val="26"/>
                <w:lang w:val="fr-FR"/>
              </w:rPr>
              <w:t>« Art. L. 321-2-1. – Le gouvernement, en lien avec les inspecteurs d’académie, effectue un état des lieux annuel de la situation des écoles maternelles. Cet état des lieux est communiqué sous forme de rapport annuel aux commissions compétentes de l’Assemblée nationale et du Sénat. Il remet également aux commissions compétentes de l’Assemblée nationale et du Sénat un rapport annuel spécifique sur la scolarisation des enfants de deux ans à trois ans, faisant notamment état des demandes de scolarisation et de la prise en compte de celles-ci dans les effectifs. »</w:t>
            </w:r>
          </w:p>
          <w:p w14:paraId="6F5775F0"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b/>
                <w:bCs/>
                <w:sz w:val="26"/>
                <w:szCs w:val="26"/>
                <w:lang w:val="fr-FR"/>
              </w:rPr>
              <w:t>Amendement AC 584</w:t>
            </w:r>
          </w:p>
        </w:tc>
      </w:tr>
      <w:tr w:rsidR="00842FA6" w14:paraId="0C1B7550" w14:textId="77777777" w:rsidTr="00842FA6">
        <w:tblPrEx>
          <w:tblBorders>
            <w:top w:val="none" w:sz="0" w:space="0" w:color="auto"/>
          </w:tblBorders>
        </w:tblPrEx>
        <w:tc>
          <w:tcPr>
            <w:tcW w:w="3403" w:type="dxa"/>
            <w:tcMar>
              <w:top w:w="20" w:type="nil"/>
              <w:left w:w="20" w:type="nil"/>
              <w:bottom w:w="20" w:type="nil"/>
              <w:right w:w="20" w:type="nil"/>
            </w:tcMar>
          </w:tcPr>
          <w:p w14:paraId="072B76A2"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2972D542"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31</w:t>
            </w:r>
          </w:p>
        </w:tc>
        <w:tc>
          <w:tcPr>
            <w:tcW w:w="3402" w:type="dxa"/>
            <w:tcMar>
              <w:top w:w="20" w:type="nil"/>
              <w:left w:w="20" w:type="nil"/>
              <w:bottom w:w="20" w:type="nil"/>
              <w:right w:w="20" w:type="nil"/>
            </w:tcMar>
          </w:tcPr>
          <w:p w14:paraId="356C057E" w14:textId="77777777" w:rsidR="00842FA6" w:rsidRDefault="00842FA6">
            <w:pPr>
              <w:widowControl w:val="0"/>
              <w:autoSpaceDE w:val="0"/>
              <w:autoSpaceDN w:val="0"/>
              <w:adjustRightInd w:val="0"/>
              <w:spacing w:after="260"/>
              <w:ind w:left="100" w:right="300"/>
              <w:jc w:val="center"/>
              <w:rPr>
                <w:rFonts w:ascii="Verdana" w:hAnsi="Verdana" w:cs="Verdana"/>
                <w:sz w:val="26"/>
                <w:szCs w:val="26"/>
                <w:lang w:val="fr-FR"/>
              </w:rPr>
            </w:pPr>
            <w:r>
              <w:rPr>
                <w:rFonts w:ascii="Times New Roman" w:hAnsi="Times New Roman" w:cs="Times New Roman"/>
                <w:sz w:val="26"/>
                <w:szCs w:val="26"/>
                <w:lang w:val="fr-FR"/>
              </w:rPr>
              <w:t>Article 31</w:t>
            </w:r>
          </w:p>
        </w:tc>
      </w:tr>
      <w:tr w:rsidR="00842FA6" w14:paraId="251FA21E" w14:textId="77777777" w:rsidTr="00842FA6">
        <w:tblPrEx>
          <w:tblBorders>
            <w:top w:val="none" w:sz="0" w:space="0" w:color="auto"/>
          </w:tblBorders>
        </w:tblPrEx>
        <w:tc>
          <w:tcPr>
            <w:tcW w:w="3403" w:type="dxa"/>
            <w:tcMar>
              <w:top w:w="20" w:type="nil"/>
              <w:left w:w="20" w:type="nil"/>
              <w:bottom w:w="20" w:type="nil"/>
              <w:right w:w="20" w:type="nil"/>
            </w:tcMar>
          </w:tcPr>
          <w:p w14:paraId="14703CEE"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30DE3926"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L’article L. 321-3 est ainsi modifié :</w:t>
            </w:r>
          </w:p>
        </w:tc>
        <w:tc>
          <w:tcPr>
            <w:tcW w:w="3402" w:type="dxa"/>
            <w:tcMar>
              <w:top w:w="20" w:type="nil"/>
              <w:left w:w="20" w:type="nil"/>
              <w:bottom w:w="20" w:type="nil"/>
              <w:right w:w="20" w:type="nil"/>
            </w:tcMar>
          </w:tcPr>
          <w:p w14:paraId="5843339B"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L’article L. 321-3 </w:t>
            </w:r>
            <w:r>
              <w:rPr>
                <w:rFonts w:ascii="Times New Roman" w:hAnsi="Times New Roman" w:cs="Times New Roman"/>
                <w:i/>
                <w:iCs/>
                <w:sz w:val="26"/>
                <w:szCs w:val="26"/>
                <w:lang w:val="fr-FR"/>
              </w:rPr>
              <w:t>du code de l’éducation</w:t>
            </w:r>
            <w:r>
              <w:rPr>
                <w:rFonts w:ascii="Times New Roman" w:hAnsi="Times New Roman" w:cs="Times New Roman"/>
                <w:sz w:val="26"/>
                <w:szCs w:val="26"/>
                <w:lang w:val="fr-FR"/>
              </w:rPr>
              <w:t xml:space="preserve"> est ainsi modifié :</w:t>
            </w:r>
          </w:p>
        </w:tc>
      </w:tr>
      <w:tr w:rsidR="00842FA6" w14:paraId="5888CD7B" w14:textId="77777777" w:rsidTr="00842FA6">
        <w:tblPrEx>
          <w:tblBorders>
            <w:top w:val="none" w:sz="0" w:space="0" w:color="auto"/>
          </w:tblBorders>
        </w:tblPrEx>
        <w:tc>
          <w:tcPr>
            <w:tcW w:w="3403" w:type="dxa"/>
            <w:tcMar>
              <w:top w:w="20" w:type="nil"/>
              <w:left w:w="20" w:type="nil"/>
              <w:bottom w:w="20" w:type="nil"/>
              <w:right w:w="20" w:type="nil"/>
            </w:tcMar>
          </w:tcPr>
          <w:p w14:paraId="499B267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Art. L. 321-3. —  La formation primaire dispensée dans les écoles élémentaires suit un programme unique réparti sur les cycles mentionnés à l'article L. 321-1 ; la période initiale peut être organisée sur une durée variable.</w:t>
            </w:r>
          </w:p>
        </w:tc>
        <w:tc>
          <w:tcPr>
            <w:tcW w:w="3827" w:type="dxa"/>
            <w:tcMar>
              <w:top w:w="20" w:type="nil"/>
              <w:left w:w="20" w:type="nil"/>
              <w:bottom w:w="20" w:type="nil"/>
              <w:right w:w="20" w:type="nil"/>
            </w:tcMar>
          </w:tcPr>
          <w:p w14:paraId="601EE38A"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1° Au premier alinéa, le mot :</w:t>
            </w:r>
          </w:p>
          <w:p w14:paraId="1C0C1634"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primaire » est supprimé et la référence : « 321-1 » est remplacée par la référence : « 311-1 » ;</w:t>
            </w:r>
          </w:p>
        </w:tc>
        <w:tc>
          <w:tcPr>
            <w:tcW w:w="3402" w:type="dxa"/>
            <w:tcMar>
              <w:top w:w="20" w:type="nil"/>
              <w:left w:w="20" w:type="nil"/>
              <w:bottom w:w="20" w:type="nil"/>
              <w:right w:w="20" w:type="nil"/>
            </w:tcMar>
          </w:tcPr>
          <w:p w14:paraId="16BC800A"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Alinéa sans modification</w:t>
            </w:r>
          </w:p>
        </w:tc>
      </w:tr>
      <w:tr w:rsidR="00842FA6" w14:paraId="16A6EE72" w14:textId="77777777" w:rsidTr="00842FA6">
        <w:tblPrEx>
          <w:tblBorders>
            <w:top w:val="none" w:sz="0" w:space="0" w:color="auto"/>
          </w:tblBorders>
        </w:tblPrEx>
        <w:tc>
          <w:tcPr>
            <w:tcW w:w="3403" w:type="dxa"/>
            <w:tcMar>
              <w:top w:w="20" w:type="nil"/>
              <w:left w:w="20" w:type="nil"/>
              <w:bottom w:w="20" w:type="nil"/>
              <w:right w:w="20" w:type="nil"/>
            </w:tcMar>
          </w:tcPr>
          <w:p w14:paraId="133FDD5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Cette formation assure l'acquisition des instruments fondamentaux de la connaissance : expression orale ou écrite, lecture, calcul ; elle suscite le développement de l'intelligence, de la sensibilité artistique, des aptitudes manuelles, physiques et sportives. Elle offre un premier apprentissage d'une langue vivante étrangère et une initiation aux arts plastiques et musicaux. Elle assure conjointement avec la famille l'éducation morale et offre un enseignement d'éducation civique qui comporte obligatoirement l'apprentissage de l'hymne national et de son histoire ».</w:t>
            </w:r>
          </w:p>
        </w:tc>
        <w:tc>
          <w:tcPr>
            <w:tcW w:w="3827" w:type="dxa"/>
            <w:tcMar>
              <w:top w:w="20" w:type="nil"/>
              <w:left w:w="20" w:type="nil"/>
              <w:bottom w:w="20" w:type="nil"/>
              <w:right w:w="20" w:type="nil"/>
            </w:tcMar>
          </w:tcPr>
          <w:p w14:paraId="141A7360"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55C8E285"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2° Le second alinéa est ainsi modifié :</w:t>
            </w:r>
          </w:p>
        </w:tc>
      </w:tr>
      <w:tr w:rsidR="00842FA6" w14:paraId="4775DA13" w14:textId="77777777" w:rsidTr="00842FA6">
        <w:tblPrEx>
          <w:tblBorders>
            <w:top w:val="none" w:sz="0" w:space="0" w:color="auto"/>
          </w:tblBorders>
        </w:tblPrEx>
        <w:tc>
          <w:tcPr>
            <w:tcW w:w="3403" w:type="dxa"/>
            <w:tcMar>
              <w:top w:w="20" w:type="nil"/>
              <w:left w:w="20" w:type="nil"/>
              <w:bottom w:w="20" w:type="nil"/>
              <w:right w:w="20" w:type="nil"/>
            </w:tcMar>
          </w:tcPr>
          <w:p w14:paraId="1D1654FF"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7CC77C58"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2° Á la première phrase du second alinéa, le mot : « ou » est remplacé par le mot : « et » et, après le mot : « calcul », sont insérés les mots :</w:t>
            </w:r>
          </w:p>
          <w:p w14:paraId="0BFA47A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proofErr w:type="gramStart"/>
            <w:r>
              <w:rPr>
                <w:rFonts w:ascii="Times New Roman" w:hAnsi="Times New Roman" w:cs="Times New Roman"/>
                <w:sz w:val="26"/>
                <w:szCs w:val="26"/>
                <w:lang w:val="fr-FR"/>
              </w:rPr>
              <w:t>« ,</w:t>
            </w:r>
            <w:proofErr w:type="gramEnd"/>
            <w:r>
              <w:rPr>
                <w:rFonts w:ascii="Times New Roman" w:hAnsi="Times New Roman" w:cs="Times New Roman"/>
                <w:sz w:val="26"/>
                <w:szCs w:val="26"/>
                <w:lang w:val="fr-FR"/>
              </w:rPr>
              <w:t xml:space="preserve"> résolution des problèmes » ;</w:t>
            </w:r>
          </w:p>
        </w:tc>
        <w:tc>
          <w:tcPr>
            <w:tcW w:w="3402" w:type="dxa"/>
            <w:tcMar>
              <w:top w:w="20" w:type="nil"/>
              <w:left w:w="20" w:type="nil"/>
              <w:bottom w:w="20" w:type="nil"/>
              <w:right w:w="20" w:type="nil"/>
            </w:tcMar>
          </w:tcPr>
          <w:p w14:paraId="1B9B01DF"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a) À la première phrase, …… le mot : « ou » …</w:t>
            </w:r>
          </w:p>
          <w:p w14:paraId="24A390B2"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problèmes » ;</w:t>
            </w:r>
          </w:p>
          <w:p w14:paraId="31F2B77C"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b/>
                <w:bCs/>
                <w:sz w:val="26"/>
                <w:szCs w:val="26"/>
                <w:lang w:val="fr-FR"/>
              </w:rPr>
              <w:t>Amendements AC35 et AC117</w:t>
            </w:r>
          </w:p>
        </w:tc>
      </w:tr>
      <w:tr w:rsidR="00842FA6" w14:paraId="68011329" w14:textId="77777777" w:rsidTr="00842FA6">
        <w:tblPrEx>
          <w:tblBorders>
            <w:top w:val="none" w:sz="0" w:space="0" w:color="auto"/>
          </w:tblBorders>
        </w:tblPrEx>
        <w:tc>
          <w:tcPr>
            <w:tcW w:w="3403" w:type="dxa"/>
            <w:tcMar>
              <w:top w:w="20" w:type="nil"/>
              <w:left w:w="20" w:type="nil"/>
              <w:bottom w:w="20" w:type="nil"/>
              <w:right w:w="20" w:type="nil"/>
            </w:tcMar>
          </w:tcPr>
          <w:p w14:paraId="0F3BF66E"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0A69802E"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0C670A41"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b) Les deux dernières phrases sont ainsi rédigées :</w:t>
            </w:r>
          </w:p>
        </w:tc>
      </w:tr>
      <w:tr w:rsidR="00842FA6" w14:paraId="6654B72A" w14:textId="77777777" w:rsidTr="00842FA6">
        <w:tblPrEx>
          <w:tblBorders>
            <w:top w:val="none" w:sz="0" w:space="0" w:color="auto"/>
          </w:tblBorders>
        </w:tblPrEx>
        <w:tc>
          <w:tcPr>
            <w:tcW w:w="3403" w:type="dxa"/>
            <w:tcMar>
              <w:top w:w="20" w:type="nil"/>
              <w:left w:w="20" w:type="nil"/>
              <w:bottom w:w="20" w:type="nil"/>
              <w:right w:w="20" w:type="nil"/>
            </w:tcMar>
          </w:tcPr>
          <w:p w14:paraId="0C490AE7"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6933EED2"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3° Au second alinéa, les deuxième et troisième phrases sont remplacées par les phrases suivantes :</w:t>
            </w:r>
          </w:p>
          <w:p w14:paraId="085DE341"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Elle dispense les éléments d'une culture scientifique et technique. Elle offre une éducation aux arts plastiques et musicaux. Elle assure l'enseignement d'une langue vivante étrangère. Elle contribue également à la compréhension et à un usage autonome et responsable des médias. Elle assure conjointement avec la famille l’éducation morale et civique qui comprend obligatoirement, pour permettre l’exercice de la citoyenneté, l’apprentissage des valeurs et symboles de la République, notamment de l'hymne national et de son histoire. »</w:t>
            </w:r>
          </w:p>
        </w:tc>
        <w:tc>
          <w:tcPr>
            <w:tcW w:w="3402" w:type="dxa"/>
            <w:tcMar>
              <w:top w:w="20" w:type="nil"/>
              <w:left w:w="20" w:type="nil"/>
              <w:bottom w:w="20" w:type="nil"/>
              <w:right w:w="20" w:type="nil"/>
            </w:tcMar>
          </w:tcPr>
          <w:p w14:paraId="14E3FCD9"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Elle dispense …</w:t>
            </w:r>
          </w:p>
          <w:p w14:paraId="0967C835"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 culture </w:t>
            </w:r>
            <w:r>
              <w:rPr>
                <w:rFonts w:ascii="Times New Roman" w:hAnsi="Times New Roman" w:cs="Times New Roman"/>
                <w:i/>
                <w:iCs/>
                <w:sz w:val="26"/>
                <w:szCs w:val="26"/>
                <w:lang w:val="fr-FR"/>
              </w:rPr>
              <w:t>historique, géographique</w:t>
            </w:r>
            <w:r>
              <w:rPr>
                <w:rFonts w:ascii="Times New Roman" w:hAnsi="Times New Roman" w:cs="Times New Roman"/>
                <w:sz w:val="26"/>
                <w:szCs w:val="26"/>
                <w:lang w:val="fr-FR"/>
              </w:rPr>
              <w:t>, scientifique …</w:t>
            </w:r>
          </w:p>
          <w:p w14:paraId="6D7855A5"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médias</w:t>
            </w:r>
            <w:r>
              <w:rPr>
                <w:rFonts w:ascii="Times New Roman" w:hAnsi="Times New Roman" w:cs="Times New Roman"/>
                <w:i/>
                <w:iCs/>
                <w:sz w:val="26"/>
                <w:szCs w:val="26"/>
                <w:lang w:val="fr-FR"/>
              </w:rPr>
              <w:t>, notamment numériques</w:t>
            </w:r>
            <w:r>
              <w:rPr>
                <w:rFonts w:ascii="Times New Roman" w:hAnsi="Times New Roman" w:cs="Times New Roman"/>
                <w:sz w:val="26"/>
                <w:szCs w:val="26"/>
                <w:lang w:val="fr-FR"/>
              </w:rPr>
              <w:t xml:space="preserve">. </w:t>
            </w:r>
            <w:r w:rsidRPr="00356E5B">
              <w:rPr>
                <w:rFonts w:ascii="Times New Roman" w:hAnsi="Times New Roman" w:cs="Times New Roman"/>
                <w:b/>
                <w:i/>
                <w:iCs/>
                <w:color w:val="FF0000"/>
                <w:sz w:val="26"/>
                <w:szCs w:val="26"/>
                <w:lang w:val="fr-FR"/>
              </w:rPr>
              <w:t>Elle assure les conditions d’une éducation à l’égalité de genre</w:t>
            </w:r>
            <w:r w:rsidRPr="00356E5B">
              <w:rPr>
                <w:rFonts w:ascii="Times New Roman" w:hAnsi="Times New Roman" w:cs="Times New Roman"/>
                <w:b/>
                <w:color w:val="FF0000"/>
                <w:sz w:val="26"/>
                <w:szCs w:val="26"/>
                <w:lang w:val="fr-FR"/>
              </w:rPr>
              <w:t>.</w:t>
            </w:r>
            <w:r>
              <w:rPr>
                <w:rFonts w:ascii="Times New Roman" w:hAnsi="Times New Roman" w:cs="Times New Roman"/>
                <w:sz w:val="26"/>
                <w:szCs w:val="26"/>
                <w:lang w:val="fr-FR"/>
              </w:rPr>
              <w:t xml:space="preserve"> Elle assure…</w:t>
            </w:r>
          </w:p>
          <w:p w14:paraId="3C7A8437" w14:textId="77777777" w:rsidR="00842FA6" w:rsidRDefault="00842FA6">
            <w:pPr>
              <w:widowControl w:val="0"/>
              <w:autoSpaceDE w:val="0"/>
              <w:autoSpaceDN w:val="0"/>
              <w:adjustRightInd w:val="0"/>
              <w:spacing w:after="260"/>
              <w:ind w:left="100" w:right="300"/>
              <w:jc w:val="right"/>
              <w:rPr>
                <w:rFonts w:ascii="Verdana" w:hAnsi="Verdana" w:cs="Verdana"/>
                <w:sz w:val="26"/>
                <w:szCs w:val="26"/>
                <w:lang w:val="fr-FR"/>
              </w:rPr>
            </w:pPr>
            <w:r>
              <w:rPr>
                <w:rFonts w:ascii="Times New Roman" w:hAnsi="Times New Roman" w:cs="Times New Roman"/>
                <w:sz w:val="26"/>
                <w:szCs w:val="26"/>
                <w:lang w:val="fr-FR"/>
              </w:rPr>
              <w:t xml:space="preserve">… national </w:t>
            </w:r>
            <w:r>
              <w:rPr>
                <w:rFonts w:ascii="Times New Roman" w:hAnsi="Times New Roman" w:cs="Times New Roman"/>
                <w:i/>
                <w:iCs/>
                <w:sz w:val="26"/>
                <w:szCs w:val="26"/>
                <w:lang w:val="fr-FR"/>
              </w:rPr>
              <w:t>et de l’hymne européen</w:t>
            </w:r>
          </w:p>
          <w:p w14:paraId="432F13C3"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sz w:val="26"/>
                <w:szCs w:val="26"/>
                <w:lang w:val="fr-FR"/>
              </w:rPr>
              <w:t xml:space="preserve">et de </w:t>
            </w:r>
            <w:r>
              <w:rPr>
                <w:rFonts w:ascii="Times New Roman" w:hAnsi="Times New Roman" w:cs="Times New Roman"/>
                <w:i/>
                <w:iCs/>
                <w:sz w:val="26"/>
                <w:szCs w:val="26"/>
                <w:lang w:val="fr-FR"/>
              </w:rPr>
              <w:t>leur</w:t>
            </w:r>
            <w:r>
              <w:rPr>
                <w:rFonts w:ascii="Times New Roman" w:hAnsi="Times New Roman" w:cs="Times New Roman"/>
                <w:sz w:val="26"/>
                <w:szCs w:val="26"/>
                <w:lang w:val="fr-FR"/>
              </w:rPr>
              <w:t xml:space="preserve"> histoire.</w:t>
            </w:r>
          </w:p>
          <w:p w14:paraId="0015FB42" w14:textId="77777777" w:rsidR="00842FA6" w:rsidRDefault="00842FA6">
            <w:pPr>
              <w:widowControl w:val="0"/>
              <w:autoSpaceDE w:val="0"/>
              <w:autoSpaceDN w:val="0"/>
              <w:adjustRightInd w:val="0"/>
              <w:spacing w:after="260"/>
              <w:ind w:left="100" w:right="300"/>
              <w:jc w:val="both"/>
              <w:rPr>
                <w:rFonts w:ascii="Verdana" w:hAnsi="Verdana" w:cs="Verdana"/>
                <w:sz w:val="26"/>
                <w:szCs w:val="26"/>
                <w:lang w:val="fr-FR"/>
              </w:rPr>
            </w:pPr>
            <w:r>
              <w:rPr>
                <w:rFonts w:ascii="Times New Roman" w:hAnsi="Times New Roman" w:cs="Times New Roman"/>
                <w:b/>
                <w:bCs/>
                <w:sz w:val="26"/>
                <w:szCs w:val="26"/>
                <w:lang w:val="fr-FR"/>
              </w:rPr>
              <w:t xml:space="preserve">Amendements AC641, AC420, AC421 et AC501 </w:t>
            </w:r>
            <w:proofErr w:type="spellStart"/>
            <w:r>
              <w:rPr>
                <w:rFonts w:ascii="Times New Roman" w:hAnsi="Times New Roman" w:cs="Times New Roman"/>
                <w:b/>
                <w:bCs/>
                <w:sz w:val="26"/>
                <w:szCs w:val="26"/>
                <w:lang w:val="fr-FR"/>
              </w:rPr>
              <w:t>rect</w:t>
            </w:r>
            <w:proofErr w:type="spellEnd"/>
            <w:r>
              <w:rPr>
                <w:rFonts w:ascii="Times New Roman" w:hAnsi="Times New Roman" w:cs="Times New Roman"/>
                <w:b/>
                <w:bCs/>
                <w:sz w:val="26"/>
                <w:szCs w:val="26"/>
                <w:lang w:val="fr-FR"/>
              </w:rPr>
              <w:t>.</w:t>
            </w:r>
          </w:p>
        </w:tc>
      </w:tr>
      <w:tr w:rsidR="00842FA6" w14:paraId="4DC6A83A" w14:textId="77777777" w:rsidTr="00842FA6">
        <w:tc>
          <w:tcPr>
            <w:tcW w:w="3403" w:type="dxa"/>
            <w:tcMar>
              <w:top w:w="20" w:type="nil"/>
              <w:left w:w="20" w:type="nil"/>
              <w:bottom w:w="20" w:type="nil"/>
              <w:right w:w="20" w:type="nil"/>
            </w:tcMar>
          </w:tcPr>
          <w:p w14:paraId="5B03BC32"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827" w:type="dxa"/>
            <w:tcMar>
              <w:top w:w="20" w:type="nil"/>
              <w:left w:w="20" w:type="nil"/>
              <w:bottom w:w="20" w:type="nil"/>
              <w:right w:w="20" w:type="nil"/>
            </w:tcMar>
          </w:tcPr>
          <w:p w14:paraId="3957ADE5" w14:textId="77777777" w:rsidR="00842FA6" w:rsidRDefault="00842FA6">
            <w:pPr>
              <w:widowControl w:val="0"/>
              <w:autoSpaceDE w:val="0"/>
              <w:autoSpaceDN w:val="0"/>
              <w:adjustRightInd w:val="0"/>
              <w:rPr>
                <w:rFonts w:ascii="Verdana" w:hAnsi="Verdana" w:cs="Verdana"/>
                <w:sz w:val="20"/>
                <w:szCs w:val="20"/>
                <w:lang w:val="fr-FR"/>
              </w:rPr>
            </w:pPr>
            <w:r>
              <w:rPr>
                <w:rFonts w:ascii="Verdana" w:hAnsi="Verdana" w:cs="Verdana"/>
                <w:sz w:val="20"/>
                <w:szCs w:val="20"/>
                <w:lang w:val="fr-FR"/>
              </w:rPr>
              <w:t> </w:t>
            </w:r>
          </w:p>
        </w:tc>
        <w:tc>
          <w:tcPr>
            <w:tcW w:w="3402" w:type="dxa"/>
            <w:tcMar>
              <w:top w:w="20" w:type="nil"/>
              <w:left w:w="20" w:type="nil"/>
              <w:bottom w:w="20" w:type="nil"/>
              <w:right w:w="20" w:type="nil"/>
            </w:tcMar>
          </w:tcPr>
          <w:p w14:paraId="73B6FAF6" w14:textId="77777777" w:rsidR="00842FA6" w:rsidRDefault="00842FA6">
            <w:pPr>
              <w:widowControl w:val="0"/>
              <w:autoSpaceDE w:val="0"/>
              <w:autoSpaceDN w:val="0"/>
              <w:adjustRightInd w:val="0"/>
              <w:spacing w:after="260"/>
              <w:ind w:left="100" w:right="300"/>
              <w:jc w:val="center"/>
              <w:rPr>
                <w:rFonts w:ascii="Times New Roman" w:hAnsi="Times New Roman" w:cs="Times New Roman"/>
                <w:sz w:val="26"/>
                <w:szCs w:val="26"/>
                <w:lang w:val="fr-FR"/>
              </w:rPr>
            </w:pPr>
            <w:r>
              <w:rPr>
                <w:rFonts w:ascii="Times New Roman" w:hAnsi="Times New Roman" w:cs="Times New Roman"/>
                <w:i/>
                <w:iCs/>
                <w:sz w:val="26"/>
                <w:szCs w:val="26"/>
                <w:lang w:val="fr-FR"/>
              </w:rPr>
              <w:t xml:space="preserve">Article 31 </w:t>
            </w:r>
            <w:r>
              <w:rPr>
                <w:rFonts w:ascii="Times New Roman" w:hAnsi="Times New Roman" w:cs="Times New Roman"/>
                <w:sz w:val="26"/>
                <w:szCs w:val="26"/>
                <w:lang w:val="fr-FR"/>
              </w:rPr>
              <w:t>bis</w:t>
            </w:r>
          </w:p>
        </w:tc>
      </w:tr>
    </w:tbl>
    <w:p w14:paraId="59309275" w14:textId="77777777" w:rsidR="002B5E2B" w:rsidRDefault="002B5E2B"/>
    <w:sectPr w:rsidR="002B5E2B" w:rsidSect="00842FA6">
      <w:pgSz w:w="11900" w:h="16840"/>
      <w:pgMar w:top="993"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outline"/>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FA6"/>
    <w:rsid w:val="002A559C"/>
    <w:rsid w:val="002B5E2B"/>
    <w:rsid w:val="00356E5B"/>
    <w:rsid w:val="007A5C2B"/>
    <w:rsid w:val="00842FA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9E6F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1129</Words>
  <Characters>6211</Characters>
  <Application>Microsoft Macintosh Word</Application>
  <DocSecurity>0</DocSecurity>
  <Lines>51</Lines>
  <Paragraphs>14</Paragraphs>
  <ScaleCrop>false</ScaleCrop>
  <Company/>
  <LinksUpToDate>false</LinksUpToDate>
  <CharactersWithSpaces>7326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BELLIARD</dc:creator>
  <cp:keywords/>
  <dc:description/>
  <cp:lastModifiedBy>Stéphane BELLIARD</cp:lastModifiedBy>
  <cp:revision>2</cp:revision>
  <dcterms:created xsi:type="dcterms:W3CDTF">2013-04-04T19:20:00Z</dcterms:created>
  <dcterms:modified xsi:type="dcterms:W3CDTF">2013-04-04T19:20:00Z</dcterms:modified>
</cp:coreProperties>
</file>